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E1063" w14:textId="75AC7A34" w:rsidR="00842072" w:rsidRDefault="00842072">
      <w:r w:rsidRPr="00FF5FC9">
        <w:rPr>
          <w:b/>
        </w:rPr>
        <w:t>Summary of changes in CGE contract with OSU</w:t>
      </w:r>
      <w:r w:rsidR="00B462DC">
        <w:t>.  These are the substantive changes to the contract that may impact cost</w:t>
      </w:r>
      <w:r w:rsidR="00FF5FC9">
        <w:t>s</w:t>
      </w:r>
      <w:r w:rsidR="00B462DC">
        <w:t xml:space="preserve"> or practices in units.  This is a preliminary review to help units plan.  The contract must be ratified by CGE membership in the Fall before it is formally in effect.  When ratified it will be retroactively effective to September 16, 2016.  If you have any more questions or would like more detail contact </w:t>
      </w:r>
      <w:proofErr w:type="spellStart"/>
      <w:r w:rsidR="00B462DC">
        <w:t>Sherm</w:t>
      </w:r>
      <w:proofErr w:type="spellEnd"/>
      <w:r w:rsidR="00B462DC">
        <w:t xml:space="preserve"> Bloomer in Budget and Fiscal Planning, Viki Dimick </w:t>
      </w:r>
      <w:r w:rsidR="00EA0F53">
        <w:t xml:space="preserve">Jackson </w:t>
      </w:r>
      <w:r w:rsidR="00B462DC">
        <w:t xml:space="preserve">in </w:t>
      </w:r>
      <w:r w:rsidR="00EA0F53">
        <w:t xml:space="preserve">the Office of </w:t>
      </w:r>
      <w:r w:rsidR="00B462DC">
        <w:t xml:space="preserve">Human Resources, or Brenda </w:t>
      </w:r>
      <w:proofErr w:type="spellStart"/>
      <w:r w:rsidR="00B462DC">
        <w:t>McComb</w:t>
      </w:r>
      <w:proofErr w:type="spellEnd"/>
      <w:r w:rsidR="00B462DC">
        <w:t xml:space="preserve"> in Academic Affairs.</w:t>
      </w:r>
      <w:r w:rsidR="00FF5FC9">
        <w:t xml:space="preserve">  Items in bold note changes that have an associated increase in costs, at least for some units.</w:t>
      </w:r>
    </w:p>
    <w:p w14:paraId="32275638" w14:textId="77777777" w:rsidR="00842072" w:rsidRDefault="00842072"/>
    <w:tbl>
      <w:tblPr>
        <w:tblStyle w:val="TableGrid"/>
        <w:tblW w:w="14476" w:type="dxa"/>
        <w:tblInd w:w="108" w:type="dxa"/>
        <w:tblLayout w:type="fixed"/>
        <w:tblLook w:val="04A0" w:firstRow="1" w:lastRow="0" w:firstColumn="1" w:lastColumn="0" w:noHBand="0" w:noVBand="1"/>
      </w:tblPr>
      <w:tblGrid>
        <w:gridCol w:w="1516"/>
        <w:gridCol w:w="3951"/>
        <w:gridCol w:w="1899"/>
        <w:gridCol w:w="3510"/>
        <w:gridCol w:w="3600"/>
      </w:tblGrid>
      <w:tr w:rsidR="00EA0F53" w14:paraId="041981A5" w14:textId="77777777" w:rsidTr="004312F9">
        <w:tc>
          <w:tcPr>
            <w:tcW w:w="1516" w:type="dxa"/>
          </w:tcPr>
          <w:p w14:paraId="43D59CC7" w14:textId="56C30F8B" w:rsidR="00EA0F53" w:rsidRDefault="00EA0F53">
            <w:r>
              <w:t>CBA Article</w:t>
            </w:r>
          </w:p>
        </w:tc>
        <w:tc>
          <w:tcPr>
            <w:tcW w:w="3951" w:type="dxa"/>
          </w:tcPr>
          <w:p w14:paraId="2A237B49" w14:textId="44C49003" w:rsidR="00EA0F53" w:rsidRDefault="00EA0F53">
            <w:r>
              <w:t>Change</w:t>
            </w:r>
          </w:p>
        </w:tc>
        <w:tc>
          <w:tcPr>
            <w:tcW w:w="1899" w:type="dxa"/>
          </w:tcPr>
          <w:p w14:paraId="2E3D6A4D" w14:textId="77777777" w:rsidR="00EA0F53" w:rsidRDefault="00EA0F53">
            <w:r>
              <w:t>Effective</w:t>
            </w:r>
          </w:p>
        </w:tc>
        <w:tc>
          <w:tcPr>
            <w:tcW w:w="3510" w:type="dxa"/>
          </w:tcPr>
          <w:p w14:paraId="0523CA18" w14:textId="77777777" w:rsidR="00EA0F53" w:rsidRDefault="00EA0F53">
            <w:r>
              <w:t>How funded?</w:t>
            </w:r>
          </w:p>
        </w:tc>
        <w:tc>
          <w:tcPr>
            <w:tcW w:w="3600" w:type="dxa"/>
          </w:tcPr>
          <w:p w14:paraId="490C9E16" w14:textId="77777777" w:rsidR="00EA0F53" w:rsidRDefault="00EA0F53">
            <w:r>
              <w:t>Who does what? And Notes.</w:t>
            </w:r>
          </w:p>
        </w:tc>
      </w:tr>
      <w:tr w:rsidR="00462FC8" w:rsidRPr="004312F9" w14:paraId="6ED06CCD" w14:textId="77777777" w:rsidTr="00462FC8">
        <w:tc>
          <w:tcPr>
            <w:tcW w:w="1516" w:type="dxa"/>
            <w:shd w:val="clear" w:color="auto" w:fill="A6A6A6" w:themeFill="background1" w:themeFillShade="A6"/>
          </w:tcPr>
          <w:p w14:paraId="364833D0" w14:textId="77777777" w:rsidR="00462FC8" w:rsidRPr="004312F9" w:rsidRDefault="00462FC8" w:rsidP="00A37EB9">
            <w:pPr>
              <w:rPr>
                <w:b/>
                <w:color w:val="FFFFFF" w:themeColor="background1"/>
              </w:rPr>
            </w:pPr>
            <w:r w:rsidRPr="004312F9">
              <w:rPr>
                <w:b/>
                <w:color w:val="FFFFFF" w:themeColor="background1"/>
              </w:rPr>
              <w:t>Art. 1&amp;2</w:t>
            </w:r>
          </w:p>
        </w:tc>
        <w:tc>
          <w:tcPr>
            <w:tcW w:w="3951" w:type="dxa"/>
            <w:shd w:val="clear" w:color="auto" w:fill="A6A6A6" w:themeFill="background1" w:themeFillShade="A6"/>
          </w:tcPr>
          <w:p w14:paraId="0AF88DAE" w14:textId="77777777" w:rsidR="00462FC8" w:rsidRPr="004312F9" w:rsidRDefault="00462FC8" w:rsidP="00A37EB9">
            <w:pPr>
              <w:rPr>
                <w:b/>
                <w:color w:val="FFFFFF" w:themeColor="background1"/>
              </w:rPr>
            </w:pPr>
            <w:r w:rsidRPr="004312F9">
              <w:rPr>
                <w:b/>
                <w:color w:val="FFFFFF" w:themeColor="background1"/>
              </w:rPr>
              <w:t>Recognition, Parties to the Agreement</w:t>
            </w:r>
          </w:p>
        </w:tc>
        <w:tc>
          <w:tcPr>
            <w:tcW w:w="1899" w:type="dxa"/>
            <w:shd w:val="clear" w:color="auto" w:fill="A6A6A6" w:themeFill="background1" w:themeFillShade="A6"/>
          </w:tcPr>
          <w:p w14:paraId="7C5FFAE3" w14:textId="77777777" w:rsidR="00462FC8" w:rsidRPr="004312F9" w:rsidRDefault="00462FC8" w:rsidP="00A37EB9">
            <w:pPr>
              <w:rPr>
                <w:b/>
                <w:color w:val="FFFFFF" w:themeColor="background1"/>
              </w:rPr>
            </w:pPr>
          </w:p>
        </w:tc>
        <w:tc>
          <w:tcPr>
            <w:tcW w:w="3510" w:type="dxa"/>
            <w:shd w:val="clear" w:color="auto" w:fill="A6A6A6" w:themeFill="background1" w:themeFillShade="A6"/>
          </w:tcPr>
          <w:p w14:paraId="0928DCE4" w14:textId="77777777" w:rsidR="00462FC8" w:rsidRPr="004312F9" w:rsidRDefault="00462FC8" w:rsidP="00A37EB9">
            <w:pPr>
              <w:rPr>
                <w:b/>
                <w:color w:val="FFFFFF" w:themeColor="background1"/>
              </w:rPr>
            </w:pPr>
          </w:p>
        </w:tc>
        <w:tc>
          <w:tcPr>
            <w:tcW w:w="3600" w:type="dxa"/>
            <w:shd w:val="clear" w:color="auto" w:fill="A6A6A6" w:themeFill="background1" w:themeFillShade="A6"/>
          </w:tcPr>
          <w:p w14:paraId="7FAEC535" w14:textId="77777777" w:rsidR="00462FC8" w:rsidRPr="004312F9" w:rsidRDefault="00462FC8" w:rsidP="00A37EB9">
            <w:pPr>
              <w:rPr>
                <w:b/>
                <w:color w:val="FFFFFF" w:themeColor="background1"/>
              </w:rPr>
            </w:pPr>
          </w:p>
        </w:tc>
      </w:tr>
      <w:tr w:rsidR="00462FC8" w14:paraId="6F3EB5D2" w14:textId="77777777" w:rsidTr="004312F9">
        <w:tc>
          <w:tcPr>
            <w:tcW w:w="1516" w:type="dxa"/>
          </w:tcPr>
          <w:p w14:paraId="1DE0E4A6" w14:textId="77777777" w:rsidR="00462FC8" w:rsidRDefault="00462FC8" w:rsidP="00462FC8"/>
        </w:tc>
        <w:tc>
          <w:tcPr>
            <w:tcW w:w="3951" w:type="dxa"/>
          </w:tcPr>
          <w:p w14:paraId="57B06827" w14:textId="1ED0D415" w:rsidR="00462FC8" w:rsidRDefault="00462FC8" w:rsidP="00462FC8">
            <w:r>
              <w:rPr>
                <w:color w:val="auto"/>
              </w:rPr>
              <w:t>Recognition</w:t>
            </w:r>
            <w:r w:rsidR="00FA066C">
              <w:rPr>
                <w:color w:val="auto"/>
              </w:rPr>
              <w:t xml:space="preserve"> - </w:t>
            </w:r>
            <w:r w:rsidR="00FA066C">
              <w:rPr>
                <w:color w:val="auto"/>
              </w:rPr>
              <w:t>GTAs and GRAs recognized as “Graduate Employees”</w:t>
            </w:r>
          </w:p>
        </w:tc>
        <w:tc>
          <w:tcPr>
            <w:tcW w:w="1899" w:type="dxa"/>
          </w:tcPr>
          <w:p w14:paraId="259894AF" w14:textId="4A6086D0" w:rsidR="00462FC8" w:rsidRDefault="00462FC8" w:rsidP="00462FC8">
            <w:r w:rsidRPr="004312F9">
              <w:rPr>
                <w:color w:val="auto"/>
              </w:rPr>
              <w:t>Upon Ratification</w:t>
            </w:r>
          </w:p>
        </w:tc>
        <w:tc>
          <w:tcPr>
            <w:tcW w:w="3510" w:type="dxa"/>
          </w:tcPr>
          <w:p w14:paraId="698CC25B" w14:textId="2ED119C2" w:rsidR="00462FC8" w:rsidRDefault="00FA066C" w:rsidP="00462FC8">
            <w:r>
              <w:t xml:space="preserve">No </w:t>
            </w:r>
            <w:r w:rsidR="00F3302F">
              <w:t>cost</w:t>
            </w:r>
          </w:p>
        </w:tc>
        <w:tc>
          <w:tcPr>
            <w:tcW w:w="3600" w:type="dxa"/>
          </w:tcPr>
          <w:p w14:paraId="58091385" w14:textId="77777777" w:rsidR="00462FC8" w:rsidRDefault="00462FC8" w:rsidP="00462FC8"/>
        </w:tc>
      </w:tr>
      <w:tr w:rsidR="00462FC8" w:rsidRPr="004312F9" w14:paraId="2FC7FF07" w14:textId="77777777" w:rsidTr="00462FC8">
        <w:tc>
          <w:tcPr>
            <w:tcW w:w="1516" w:type="dxa"/>
            <w:shd w:val="clear" w:color="auto" w:fill="A6A6A6" w:themeFill="background1" w:themeFillShade="A6"/>
          </w:tcPr>
          <w:p w14:paraId="6BEC342C" w14:textId="77777777" w:rsidR="00462FC8" w:rsidRPr="004312F9" w:rsidRDefault="00462FC8" w:rsidP="00A37EB9">
            <w:pPr>
              <w:rPr>
                <w:b/>
                <w:color w:val="FFFFFF" w:themeColor="background1"/>
              </w:rPr>
            </w:pPr>
            <w:r w:rsidRPr="004312F9">
              <w:rPr>
                <w:b/>
                <w:color w:val="FFFFFF" w:themeColor="background1"/>
              </w:rPr>
              <w:t>Art. 8</w:t>
            </w:r>
          </w:p>
        </w:tc>
        <w:tc>
          <w:tcPr>
            <w:tcW w:w="3951" w:type="dxa"/>
            <w:shd w:val="clear" w:color="auto" w:fill="A6A6A6" w:themeFill="background1" w:themeFillShade="A6"/>
          </w:tcPr>
          <w:p w14:paraId="5F9A6E53" w14:textId="77777777" w:rsidR="00462FC8" w:rsidRPr="004312F9" w:rsidRDefault="00462FC8" w:rsidP="00A37EB9">
            <w:pPr>
              <w:rPr>
                <w:b/>
                <w:color w:val="FFFFFF" w:themeColor="background1"/>
              </w:rPr>
            </w:pPr>
            <w:r w:rsidRPr="004312F9">
              <w:rPr>
                <w:b/>
                <w:color w:val="FFFFFF" w:themeColor="background1"/>
              </w:rPr>
              <w:t>Union Rights</w:t>
            </w:r>
          </w:p>
        </w:tc>
        <w:tc>
          <w:tcPr>
            <w:tcW w:w="1899" w:type="dxa"/>
            <w:shd w:val="clear" w:color="auto" w:fill="A6A6A6" w:themeFill="background1" w:themeFillShade="A6"/>
          </w:tcPr>
          <w:p w14:paraId="4287472F" w14:textId="77777777" w:rsidR="00462FC8" w:rsidRPr="004312F9" w:rsidRDefault="00462FC8" w:rsidP="00A37EB9">
            <w:pPr>
              <w:rPr>
                <w:b/>
                <w:color w:val="FFFFFF" w:themeColor="background1"/>
              </w:rPr>
            </w:pPr>
          </w:p>
        </w:tc>
        <w:tc>
          <w:tcPr>
            <w:tcW w:w="3510" w:type="dxa"/>
            <w:shd w:val="clear" w:color="auto" w:fill="A6A6A6" w:themeFill="background1" w:themeFillShade="A6"/>
          </w:tcPr>
          <w:p w14:paraId="5AC2B887" w14:textId="77777777" w:rsidR="00462FC8" w:rsidRPr="004312F9" w:rsidRDefault="00462FC8" w:rsidP="00A37EB9">
            <w:pPr>
              <w:rPr>
                <w:b/>
                <w:color w:val="FFFFFF" w:themeColor="background1"/>
              </w:rPr>
            </w:pPr>
          </w:p>
        </w:tc>
        <w:tc>
          <w:tcPr>
            <w:tcW w:w="3600" w:type="dxa"/>
            <w:shd w:val="clear" w:color="auto" w:fill="A6A6A6" w:themeFill="background1" w:themeFillShade="A6"/>
          </w:tcPr>
          <w:p w14:paraId="7B2E06CE" w14:textId="77777777" w:rsidR="00462FC8" w:rsidRPr="004312F9" w:rsidRDefault="00462FC8" w:rsidP="00A37EB9">
            <w:pPr>
              <w:rPr>
                <w:b/>
                <w:color w:val="FFFFFF" w:themeColor="background1"/>
              </w:rPr>
            </w:pPr>
          </w:p>
        </w:tc>
      </w:tr>
      <w:tr w:rsidR="00462FC8" w14:paraId="379A48D0" w14:textId="77777777" w:rsidTr="004312F9">
        <w:tc>
          <w:tcPr>
            <w:tcW w:w="1516" w:type="dxa"/>
          </w:tcPr>
          <w:p w14:paraId="1BEA6DE0" w14:textId="77777777" w:rsidR="00462FC8" w:rsidRDefault="00462FC8" w:rsidP="00462FC8"/>
        </w:tc>
        <w:tc>
          <w:tcPr>
            <w:tcW w:w="3951" w:type="dxa"/>
          </w:tcPr>
          <w:p w14:paraId="0B85E8A5" w14:textId="47866943" w:rsidR="00462FC8" w:rsidRDefault="00462FC8" w:rsidP="00462FC8">
            <w:pPr>
              <w:rPr>
                <w:color w:val="auto"/>
              </w:rPr>
            </w:pPr>
            <w:r w:rsidRPr="004312F9">
              <w:rPr>
                <w:color w:val="auto"/>
              </w:rPr>
              <w:t>Dues and Fair Share Deduction</w:t>
            </w:r>
          </w:p>
        </w:tc>
        <w:tc>
          <w:tcPr>
            <w:tcW w:w="1899" w:type="dxa"/>
          </w:tcPr>
          <w:p w14:paraId="2B3AB33F" w14:textId="0A810C41" w:rsidR="00462FC8" w:rsidRPr="004312F9" w:rsidRDefault="00462FC8" w:rsidP="00462FC8">
            <w:pPr>
              <w:rPr>
                <w:color w:val="auto"/>
              </w:rPr>
            </w:pPr>
            <w:r w:rsidRPr="004312F9">
              <w:rPr>
                <w:color w:val="auto"/>
              </w:rPr>
              <w:t>Upon Ratification</w:t>
            </w:r>
          </w:p>
        </w:tc>
        <w:tc>
          <w:tcPr>
            <w:tcW w:w="3510" w:type="dxa"/>
          </w:tcPr>
          <w:p w14:paraId="05FB3F4C" w14:textId="13BFD615" w:rsidR="00462FC8" w:rsidRDefault="00462FC8" w:rsidP="00462FC8">
            <w:pPr>
              <w:rPr>
                <w:color w:val="auto"/>
              </w:rPr>
            </w:pPr>
            <w:r w:rsidRPr="004312F9">
              <w:rPr>
                <w:color w:val="auto"/>
              </w:rPr>
              <w:t>If more than 2 months of dues or fair share payments fail to be deducted due to University error, the Graduate Assistant is given the option how to spread the payments over the term of their appointment.</w:t>
            </w:r>
          </w:p>
        </w:tc>
        <w:tc>
          <w:tcPr>
            <w:tcW w:w="3600" w:type="dxa"/>
          </w:tcPr>
          <w:p w14:paraId="12B7FE0F" w14:textId="77777777" w:rsidR="00462FC8" w:rsidRDefault="00462FC8" w:rsidP="00462FC8"/>
        </w:tc>
      </w:tr>
      <w:tr w:rsidR="00462FC8" w14:paraId="52783655" w14:textId="77777777" w:rsidTr="00EA0F53">
        <w:tc>
          <w:tcPr>
            <w:tcW w:w="1516" w:type="dxa"/>
            <w:shd w:val="clear" w:color="auto" w:fill="A6A6A6" w:themeFill="background1" w:themeFillShade="A6"/>
          </w:tcPr>
          <w:p w14:paraId="3F2F8D5D" w14:textId="083E57D1" w:rsidR="00462FC8" w:rsidRPr="00B462DC" w:rsidRDefault="00462FC8" w:rsidP="00462FC8">
            <w:pPr>
              <w:rPr>
                <w:b/>
                <w:color w:val="FFFFFF" w:themeColor="background1"/>
              </w:rPr>
            </w:pPr>
            <w:r>
              <w:rPr>
                <w:b/>
                <w:color w:val="FFFFFF" w:themeColor="background1"/>
              </w:rPr>
              <w:t>Art. 9</w:t>
            </w:r>
          </w:p>
        </w:tc>
        <w:tc>
          <w:tcPr>
            <w:tcW w:w="9360" w:type="dxa"/>
            <w:gridSpan w:val="3"/>
            <w:shd w:val="clear" w:color="auto" w:fill="A6A6A6" w:themeFill="background1" w:themeFillShade="A6"/>
          </w:tcPr>
          <w:p w14:paraId="5A669C3C" w14:textId="5C8DFE89" w:rsidR="00462FC8" w:rsidRPr="00B462DC" w:rsidRDefault="00462FC8" w:rsidP="00462FC8">
            <w:pPr>
              <w:rPr>
                <w:b/>
                <w:color w:val="FFFFFF" w:themeColor="background1"/>
              </w:rPr>
            </w:pPr>
            <w:r w:rsidRPr="00B462DC">
              <w:rPr>
                <w:b/>
                <w:color w:val="FFFFFF" w:themeColor="background1"/>
              </w:rPr>
              <w:t xml:space="preserve">Appointments:  </w:t>
            </w:r>
            <w:r>
              <w:rPr>
                <w:b/>
                <w:color w:val="FFFFFF" w:themeColor="background1"/>
              </w:rPr>
              <w:t>Timing and Duration</w:t>
            </w:r>
          </w:p>
        </w:tc>
        <w:tc>
          <w:tcPr>
            <w:tcW w:w="3600" w:type="dxa"/>
            <w:shd w:val="clear" w:color="auto" w:fill="A6A6A6" w:themeFill="background1" w:themeFillShade="A6"/>
          </w:tcPr>
          <w:p w14:paraId="2D8495EB" w14:textId="77777777" w:rsidR="00462FC8" w:rsidRPr="00B462DC" w:rsidRDefault="00462FC8" w:rsidP="00462FC8">
            <w:pPr>
              <w:rPr>
                <w:color w:val="FFFFFF" w:themeColor="background1"/>
              </w:rPr>
            </w:pPr>
          </w:p>
        </w:tc>
      </w:tr>
      <w:tr w:rsidR="00462FC8" w14:paraId="602E7900" w14:textId="77777777" w:rsidTr="004312F9">
        <w:tc>
          <w:tcPr>
            <w:tcW w:w="1516" w:type="dxa"/>
          </w:tcPr>
          <w:p w14:paraId="59FBF096" w14:textId="77777777" w:rsidR="00462FC8" w:rsidRDefault="00462FC8" w:rsidP="00462FC8"/>
        </w:tc>
        <w:tc>
          <w:tcPr>
            <w:tcW w:w="3951" w:type="dxa"/>
          </w:tcPr>
          <w:p w14:paraId="68C92C2D" w14:textId="20B44ADF" w:rsidR="00462FC8" w:rsidRDefault="00462FC8" w:rsidP="00462FC8">
            <w:r>
              <w:t>Appointment Letters will be as “Graduate Assistants” vs. “GTA” or “GRA.” Duration is annual and the type of position (research or teaching) can be changed or split within the appointment.  No later than 30 days prior to start of appointment</w:t>
            </w:r>
          </w:p>
        </w:tc>
        <w:tc>
          <w:tcPr>
            <w:tcW w:w="1899" w:type="dxa"/>
          </w:tcPr>
          <w:p w14:paraId="08B09743" w14:textId="5AEBD20C" w:rsidR="00462FC8" w:rsidRDefault="00462FC8" w:rsidP="00462FC8">
            <w:r>
              <w:t>Sept. 2016</w:t>
            </w:r>
          </w:p>
        </w:tc>
        <w:tc>
          <w:tcPr>
            <w:tcW w:w="3510" w:type="dxa"/>
          </w:tcPr>
          <w:p w14:paraId="79A7A1CE" w14:textId="77777777" w:rsidR="00462FC8" w:rsidRDefault="00462FC8" w:rsidP="00462FC8">
            <w:r>
              <w:t>No cost, change in appointment practice</w:t>
            </w:r>
          </w:p>
        </w:tc>
        <w:tc>
          <w:tcPr>
            <w:tcW w:w="3600" w:type="dxa"/>
          </w:tcPr>
          <w:p w14:paraId="2EF74C14" w14:textId="77777777" w:rsidR="00462FC8" w:rsidRDefault="00462FC8" w:rsidP="00462FC8">
            <w:r>
              <w:t>Central HR will develop templates for appointment letters for units to use</w:t>
            </w:r>
          </w:p>
        </w:tc>
      </w:tr>
      <w:tr w:rsidR="00462FC8" w14:paraId="42DAB837" w14:textId="77777777" w:rsidTr="004312F9">
        <w:tc>
          <w:tcPr>
            <w:tcW w:w="1516" w:type="dxa"/>
          </w:tcPr>
          <w:p w14:paraId="3CB1BFDD" w14:textId="77777777" w:rsidR="00462FC8" w:rsidRDefault="00462FC8" w:rsidP="00462FC8"/>
        </w:tc>
        <w:tc>
          <w:tcPr>
            <w:tcW w:w="3951" w:type="dxa"/>
          </w:tcPr>
          <w:p w14:paraId="1C5609E1" w14:textId="5A031849" w:rsidR="00462FC8" w:rsidRDefault="00462FC8" w:rsidP="00462FC8">
            <w:r>
              <w:t xml:space="preserve">For Assistants admitted to the University with an offer of support appointments are to be for an academic year or fiscal year; if an appointment is for less than the full academic year the reason must be noted on the appointment letter.  </w:t>
            </w:r>
          </w:p>
        </w:tc>
        <w:tc>
          <w:tcPr>
            <w:tcW w:w="1899" w:type="dxa"/>
          </w:tcPr>
          <w:p w14:paraId="2BC5CF16" w14:textId="43C796AA" w:rsidR="00462FC8" w:rsidRDefault="00462FC8" w:rsidP="00462FC8">
            <w:r>
              <w:t>Sept. 2016</w:t>
            </w:r>
          </w:p>
        </w:tc>
        <w:tc>
          <w:tcPr>
            <w:tcW w:w="3510" w:type="dxa"/>
          </w:tcPr>
          <w:p w14:paraId="5EA64A5E" w14:textId="77777777" w:rsidR="00462FC8" w:rsidRDefault="00462FC8" w:rsidP="00462FC8">
            <w:r>
              <w:t>No cost, change in appointment practice</w:t>
            </w:r>
          </w:p>
        </w:tc>
        <w:tc>
          <w:tcPr>
            <w:tcW w:w="3600" w:type="dxa"/>
          </w:tcPr>
          <w:p w14:paraId="2C7FEE03" w14:textId="77777777" w:rsidR="00462FC8" w:rsidRDefault="00462FC8" w:rsidP="00462FC8">
            <w:r>
              <w:t>Central HR and University to audit use of term to term appointments and reasons by term</w:t>
            </w:r>
          </w:p>
        </w:tc>
      </w:tr>
      <w:tr w:rsidR="00462FC8" w14:paraId="63ADD3B8" w14:textId="77777777" w:rsidTr="004312F9">
        <w:tc>
          <w:tcPr>
            <w:tcW w:w="1516" w:type="dxa"/>
          </w:tcPr>
          <w:p w14:paraId="2C8BF5D0" w14:textId="77777777" w:rsidR="00462FC8" w:rsidRDefault="00462FC8" w:rsidP="00462FC8"/>
        </w:tc>
        <w:tc>
          <w:tcPr>
            <w:tcW w:w="3951" w:type="dxa"/>
          </w:tcPr>
          <w:p w14:paraId="5BD9E8A0" w14:textId="0A1A4313" w:rsidR="00462FC8" w:rsidRDefault="00462FC8" w:rsidP="00462FC8">
            <w:r>
              <w:t xml:space="preserve">Employing units need to use Graduate Assistant appointments rather than hourly positions during the academic year except where the work is temporary or is unrelated to academic work. </w:t>
            </w:r>
          </w:p>
        </w:tc>
        <w:tc>
          <w:tcPr>
            <w:tcW w:w="1899" w:type="dxa"/>
          </w:tcPr>
          <w:p w14:paraId="51BE2960" w14:textId="5A20511D" w:rsidR="00462FC8" w:rsidRDefault="00462FC8" w:rsidP="00462FC8">
            <w:r>
              <w:t>Sept. 2017</w:t>
            </w:r>
          </w:p>
        </w:tc>
        <w:tc>
          <w:tcPr>
            <w:tcW w:w="3510" w:type="dxa"/>
          </w:tcPr>
          <w:p w14:paraId="07462D42" w14:textId="34304F3D" w:rsidR="00462FC8" w:rsidRDefault="00462FC8" w:rsidP="00462FC8">
            <w:r>
              <w:t>Unit level, though appointments should have been at same hourly rate as Assistants already</w:t>
            </w:r>
          </w:p>
        </w:tc>
        <w:tc>
          <w:tcPr>
            <w:tcW w:w="3600" w:type="dxa"/>
          </w:tcPr>
          <w:p w14:paraId="2A42E73D" w14:textId="4469E11E" w:rsidR="00462FC8" w:rsidRDefault="00462FC8" w:rsidP="00462FC8">
            <w:r>
              <w:t>Units and Business Centers to make appropriate appointments. University to audit use of hourly appointments by term.</w:t>
            </w:r>
          </w:p>
        </w:tc>
      </w:tr>
      <w:tr w:rsidR="00462FC8" w14:paraId="69067093" w14:textId="77777777" w:rsidTr="004312F9">
        <w:tc>
          <w:tcPr>
            <w:tcW w:w="1516" w:type="dxa"/>
          </w:tcPr>
          <w:p w14:paraId="18917224" w14:textId="77777777" w:rsidR="00462FC8" w:rsidRDefault="00462FC8" w:rsidP="00462FC8"/>
        </w:tc>
        <w:tc>
          <w:tcPr>
            <w:tcW w:w="3951" w:type="dxa"/>
          </w:tcPr>
          <w:p w14:paraId="1EA01B67" w14:textId="2EC856F4" w:rsidR="00462FC8" w:rsidRDefault="00462FC8" w:rsidP="00462FC8">
            <w:r w:rsidRPr="009338FC">
              <w:rPr>
                <w:i/>
                <w:u w:val="single"/>
              </w:rPr>
              <w:t>Position descriptions</w:t>
            </w:r>
            <w:r>
              <w:t xml:space="preserve"> will specify the GRA or GTA duties. </w:t>
            </w:r>
            <w:r w:rsidRPr="009338FC">
              <w:rPr>
                <w:i/>
                <w:u w:val="single"/>
              </w:rPr>
              <w:t>Work assignment</w:t>
            </w:r>
            <w:r>
              <w:t xml:space="preserve"> will provide course assignment, health and safety, and training.  These must be provided at least 15 days prior to the start of the term, unless the work opportunity became available less than 15 days before term. </w:t>
            </w:r>
          </w:p>
        </w:tc>
        <w:tc>
          <w:tcPr>
            <w:tcW w:w="1899" w:type="dxa"/>
          </w:tcPr>
          <w:p w14:paraId="7F4804EC" w14:textId="6879A807" w:rsidR="00462FC8" w:rsidRDefault="00FA066C" w:rsidP="00462FC8">
            <w:r>
              <w:t>Sept. 2016</w:t>
            </w:r>
          </w:p>
        </w:tc>
        <w:tc>
          <w:tcPr>
            <w:tcW w:w="3510" w:type="dxa"/>
          </w:tcPr>
          <w:p w14:paraId="08F1CF05" w14:textId="77777777" w:rsidR="00462FC8" w:rsidRDefault="00462FC8" w:rsidP="00462FC8">
            <w:r>
              <w:t>No cost, enforcement of existing contract language</w:t>
            </w:r>
          </w:p>
        </w:tc>
        <w:tc>
          <w:tcPr>
            <w:tcW w:w="3600" w:type="dxa"/>
          </w:tcPr>
          <w:p w14:paraId="3F9F9AE7" w14:textId="77777777" w:rsidR="00462FC8" w:rsidRDefault="00462FC8" w:rsidP="00462FC8">
            <w:r>
              <w:t>Central HR will develop templates for position descriptions and work assignments for units to use; University to audit timely notice issues</w:t>
            </w:r>
          </w:p>
        </w:tc>
      </w:tr>
      <w:tr w:rsidR="00FA066C" w14:paraId="2807BE17" w14:textId="77777777" w:rsidTr="00FA066C">
        <w:tc>
          <w:tcPr>
            <w:tcW w:w="1516" w:type="dxa"/>
            <w:shd w:val="clear" w:color="auto" w:fill="A6A6A6" w:themeFill="background1" w:themeFillShade="A6"/>
          </w:tcPr>
          <w:p w14:paraId="7EE963A5" w14:textId="2891AF48" w:rsidR="00FA066C" w:rsidRPr="00FA066C" w:rsidRDefault="00FA066C" w:rsidP="00462FC8">
            <w:pPr>
              <w:rPr>
                <w:b/>
                <w:color w:val="FFFFFF" w:themeColor="background1"/>
              </w:rPr>
            </w:pPr>
            <w:r w:rsidRPr="00FA066C">
              <w:rPr>
                <w:b/>
                <w:color w:val="FFFFFF" w:themeColor="background1"/>
              </w:rPr>
              <w:t>Art. 10</w:t>
            </w:r>
          </w:p>
        </w:tc>
        <w:tc>
          <w:tcPr>
            <w:tcW w:w="3951" w:type="dxa"/>
            <w:shd w:val="clear" w:color="auto" w:fill="A6A6A6" w:themeFill="background1" w:themeFillShade="A6"/>
          </w:tcPr>
          <w:p w14:paraId="5AA0A8FA" w14:textId="673E854B" w:rsidR="00FA066C" w:rsidRPr="00FA066C" w:rsidRDefault="00FA066C" w:rsidP="00462FC8">
            <w:pPr>
              <w:rPr>
                <w:b/>
                <w:color w:val="FFFFFF" w:themeColor="background1"/>
              </w:rPr>
            </w:pPr>
            <w:r w:rsidRPr="00FA066C">
              <w:rPr>
                <w:b/>
                <w:color w:val="FFFFFF" w:themeColor="background1"/>
              </w:rPr>
              <w:t>Work Assignment</w:t>
            </w:r>
          </w:p>
        </w:tc>
        <w:tc>
          <w:tcPr>
            <w:tcW w:w="1899" w:type="dxa"/>
            <w:shd w:val="clear" w:color="auto" w:fill="A6A6A6" w:themeFill="background1" w:themeFillShade="A6"/>
          </w:tcPr>
          <w:p w14:paraId="607F585C" w14:textId="77777777" w:rsidR="00FA066C" w:rsidRPr="00FA066C" w:rsidRDefault="00FA066C" w:rsidP="00462FC8">
            <w:pPr>
              <w:rPr>
                <w:b/>
                <w:color w:val="FFFFFF" w:themeColor="background1"/>
              </w:rPr>
            </w:pPr>
          </w:p>
        </w:tc>
        <w:tc>
          <w:tcPr>
            <w:tcW w:w="3510" w:type="dxa"/>
            <w:shd w:val="clear" w:color="auto" w:fill="A6A6A6" w:themeFill="background1" w:themeFillShade="A6"/>
          </w:tcPr>
          <w:p w14:paraId="106D9D96" w14:textId="77777777" w:rsidR="00FA066C" w:rsidRPr="00FA066C" w:rsidRDefault="00FA066C" w:rsidP="00462FC8">
            <w:pPr>
              <w:rPr>
                <w:b/>
                <w:color w:val="FFFFFF" w:themeColor="background1"/>
              </w:rPr>
            </w:pPr>
          </w:p>
        </w:tc>
        <w:tc>
          <w:tcPr>
            <w:tcW w:w="3600" w:type="dxa"/>
            <w:shd w:val="clear" w:color="auto" w:fill="A6A6A6" w:themeFill="background1" w:themeFillShade="A6"/>
          </w:tcPr>
          <w:p w14:paraId="58434700" w14:textId="77777777" w:rsidR="00FA066C" w:rsidRPr="00FA066C" w:rsidRDefault="00FA066C" w:rsidP="00462FC8">
            <w:pPr>
              <w:rPr>
                <w:b/>
                <w:color w:val="FFFFFF" w:themeColor="background1"/>
              </w:rPr>
            </w:pPr>
          </w:p>
        </w:tc>
      </w:tr>
      <w:tr w:rsidR="00FA066C" w14:paraId="5255A2B5" w14:textId="77777777" w:rsidTr="004312F9">
        <w:tc>
          <w:tcPr>
            <w:tcW w:w="1516" w:type="dxa"/>
          </w:tcPr>
          <w:p w14:paraId="7A98CC05" w14:textId="77777777" w:rsidR="00FA066C" w:rsidRDefault="00FA066C" w:rsidP="00FA066C"/>
        </w:tc>
        <w:tc>
          <w:tcPr>
            <w:tcW w:w="3951" w:type="dxa"/>
          </w:tcPr>
          <w:p w14:paraId="52D7CCBC" w14:textId="0783440E" w:rsidR="00FA066C" w:rsidRPr="00FA066C" w:rsidRDefault="00FA066C" w:rsidP="00FA066C">
            <w:pPr>
              <w:rPr>
                <w:color w:val="auto"/>
              </w:rPr>
            </w:pPr>
            <w:r w:rsidRPr="00FA066C">
              <w:rPr>
                <w:color w:val="auto"/>
              </w:rPr>
              <w:t>Space—departments shall provide, or arrange for finding, space for graduate assistants to hold private meetings with students as necessary Article 10 sections 5</w:t>
            </w:r>
          </w:p>
        </w:tc>
        <w:tc>
          <w:tcPr>
            <w:tcW w:w="1899" w:type="dxa"/>
          </w:tcPr>
          <w:p w14:paraId="3BD617F2" w14:textId="3374075C" w:rsidR="00FA066C" w:rsidRPr="00FA066C" w:rsidRDefault="00FA066C" w:rsidP="00FA066C">
            <w:pPr>
              <w:rPr>
                <w:color w:val="auto"/>
              </w:rPr>
            </w:pPr>
            <w:r w:rsidRPr="00FA066C">
              <w:rPr>
                <w:color w:val="auto"/>
              </w:rPr>
              <w:t>Sept</w:t>
            </w:r>
            <w:r>
              <w:rPr>
                <w:color w:val="auto"/>
              </w:rPr>
              <w:t>.</w:t>
            </w:r>
            <w:r w:rsidRPr="00FA066C">
              <w:rPr>
                <w:color w:val="auto"/>
              </w:rPr>
              <w:t xml:space="preserve"> 2016</w:t>
            </w:r>
          </w:p>
        </w:tc>
        <w:tc>
          <w:tcPr>
            <w:tcW w:w="3510" w:type="dxa"/>
          </w:tcPr>
          <w:p w14:paraId="1F617BFA" w14:textId="2C4CDEB7" w:rsidR="00FA066C" w:rsidRPr="00FA066C" w:rsidRDefault="00FA066C" w:rsidP="00FA066C">
            <w:pPr>
              <w:rPr>
                <w:color w:val="auto"/>
              </w:rPr>
            </w:pPr>
            <w:r w:rsidRPr="00FA066C">
              <w:rPr>
                <w:color w:val="auto"/>
              </w:rPr>
              <w:t>Probably no cost unless units have to use space that is charged for</w:t>
            </w:r>
          </w:p>
        </w:tc>
        <w:tc>
          <w:tcPr>
            <w:tcW w:w="3600" w:type="dxa"/>
          </w:tcPr>
          <w:p w14:paraId="79DDF039" w14:textId="1C08E25B" w:rsidR="00FA066C" w:rsidRPr="00FA066C" w:rsidRDefault="00FA066C" w:rsidP="00FA066C">
            <w:pPr>
              <w:rPr>
                <w:color w:val="auto"/>
              </w:rPr>
            </w:pPr>
            <w:r w:rsidRPr="00FA066C">
              <w:rPr>
                <w:color w:val="auto"/>
              </w:rPr>
              <w:t>Appointing units</w:t>
            </w:r>
          </w:p>
        </w:tc>
      </w:tr>
      <w:tr w:rsidR="00FA066C" w:rsidRPr="00974734" w14:paraId="3EDC8085" w14:textId="77777777" w:rsidTr="00A37EB9">
        <w:tc>
          <w:tcPr>
            <w:tcW w:w="1516" w:type="dxa"/>
            <w:shd w:val="clear" w:color="auto" w:fill="A6A6A6" w:themeFill="background1" w:themeFillShade="A6"/>
          </w:tcPr>
          <w:p w14:paraId="0C54F89F" w14:textId="77777777" w:rsidR="00FA066C" w:rsidRPr="00974734" w:rsidRDefault="00FA066C" w:rsidP="00FA066C">
            <w:pPr>
              <w:rPr>
                <w:b/>
                <w:color w:val="FFFFFF" w:themeColor="background1"/>
              </w:rPr>
            </w:pPr>
            <w:r>
              <w:rPr>
                <w:b/>
                <w:color w:val="FFFFFF" w:themeColor="background1"/>
              </w:rPr>
              <w:t>Art. 11</w:t>
            </w:r>
          </w:p>
        </w:tc>
        <w:tc>
          <w:tcPr>
            <w:tcW w:w="3951" w:type="dxa"/>
            <w:shd w:val="clear" w:color="auto" w:fill="A6A6A6" w:themeFill="background1" w:themeFillShade="A6"/>
          </w:tcPr>
          <w:p w14:paraId="32D29413" w14:textId="77777777" w:rsidR="00FA066C" w:rsidRPr="00974734" w:rsidRDefault="00FA066C" w:rsidP="00FA066C">
            <w:pPr>
              <w:rPr>
                <w:b/>
                <w:color w:val="FFFFFF" w:themeColor="background1"/>
              </w:rPr>
            </w:pPr>
            <w:r w:rsidRPr="00974734">
              <w:rPr>
                <w:b/>
                <w:color w:val="FFFFFF" w:themeColor="background1"/>
              </w:rPr>
              <w:t>Salary rate and minimum FTE</w:t>
            </w:r>
          </w:p>
        </w:tc>
        <w:tc>
          <w:tcPr>
            <w:tcW w:w="1899" w:type="dxa"/>
            <w:shd w:val="clear" w:color="auto" w:fill="A6A6A6" w:themeFill="background1" w:themeFillShade="A6"/>
          </w:tcPr>
          <w:p w14:paraId="53876C1A" w14:textId="77777777" w:rsidR="00FA066C" w:rsidRPr="00974734" w:rsidRDefault="00FA066C" w:rsidP="00FA066C">
            <w:pPr>
              <w:rPr>
                <w:color w:val="FFFFFF" w:themeColor="background1"/>
              </w:rPr>
            </w:pPr>
          </w:p>
        </w:tc>
        <w:tc>
          <w:tcPr>
            <w:tcW w:w="3510" w:type="dxa"/>
            <w:shd w:val="clear" w:color="auto" w:fill="A6A6A6" w:themeFill="background1" w:themeFillShade="A6"/>
          </w:tcPr>
          <w:p w14:paraId="0D4AFB10" w14:textId="77777777" w:rsidR="00FA066C" w:rsidRPr="00974734" w:rsidRDefault="00FA066C" w:rsidP="00FA066C">
            <w:pPr>
              <w:rPr>
                <w:color w:val="FFFFFF" w:themeColor="background1"/>
              </w:rPr>
            </w:pPr>
          </w:p>
        </w:tc>
        <w:tc>
          <w:tcPr>
            <w:tcW w:w="3600" w:type="dxa"/>
            <w:shd w:val="clear" w:color="auto" w:fill="A6A6A6" w:themeFill="background1" w:themeFillShade="A6"/>
          </w:tcPr>
          <w:p w14:paraId="108E5195" w14:textId="77777777" w:rsidR="00FA066C" w:rsidRPr="00974734" w:rsidRDefault="00FA066C" w:rsidP="00FA066C">
            <w:pPr>
              <w:rPr>
                <w:color w:val="FFFFFF" w:themeColor="background1"/>
              </w:rPr>
            </w:pPr>
          </w:p>
        </w:tc>
      </w:tr>
      <w:tr w:rsidR="00FA066C" w14:paraId="0E22DA05" w14:textId="77777777" w:rsidTr="004312F9">
        <w:tc>
          <w:tcPr>
            <w:tcW w:w="1516" w:type="dxa"/>
          </w:tcPr>
          <w:p w14:paraId="7C4FBE89" w14:textId="77777777" w:rsidR="00FA066C" w:rsidRDefault="00FA066C" w:rsidP="00FA066C"/>
        </w:tc>
        <w:tc>
          <w:tcPr>
            <w:tcW w:w="3951" w:type="dxa"/>
          </w:tcPr>
          <w:p w14:paraId="1A4D9432" w14:textId="50125190" w:rsidR="00FA066C" w:rsidRPr="009338FC" w:rsidRDefault="00FA066C" w:rsidP="00FA066C">
            <w:pPr>
              <w:rPr>
                <w:i/>
                <w:u w:val="single"/>
              </w:rPr>
            </w:pPr>
            <w:r w:rsidRPr="00560999">
              <w:rPr>
                <w:b/>
              </w:rPr>
              <w:t xml:space="preserve">Minimum appointment level </w:t>
            </w:r>
            <w:r>
              <w:rPr>
                <w:b/>
              </w:rPr>
              <w:t xml:space="preserve">increases from 0.2 FTE to </w:t>
            </w:r>
            <w:r w:rsidRPr="00560999">
              <w:rPr>
                <w:b/>
              </w:rPr>
              <w:t>0.30 FTE</w:t>
            </w:r>
            <w:r>
              <w:rPr>
                <w:b/>
              </w:rPr>
              <w:t xml:space="preserve"> a year from this fall</w:t>
            </w:r>
            <w:r w:rsidRPr="00560999">
              <w:rPr>
                <w:b/>
              </w:rPr>
              <w:t>; still can be split across fund sources</w:t>
            </w:r>
          </w:p>
        </w:tc>
        <w:tc>
          <w:tcPr>
            <w:tcW w:w="1899" w:type="dxa"/>
          </w:tcPr>
          <w:p w14:paraId="2D3AF08C" w14:textId="69CFE604" w:rsidR="00FA066C" w:rsidRDefault="00FA066C" w:rsidP="00FA066C">
            <w:r>
              <w:t>Sept. 2017</w:t>
            </w:r>
          </w:p>
        </w:tc>
        <w:tc>
          <w:tcPr>
            <w:tcW w:w="3510" w:type="dxa"/>
          </w:tcPr>
          <w:p w14:paraId="492AEF0B" w14:textId="67B80616" w:rsidR="00FA066C" w:rsidRDefault="00FA066C" w:rsidP="00FA066C">
            <w:r>
              <w:t>At unit level; impacts on units with many E&amp;G appointments &lt;0.30 FTE to be assessed and central E&amp;G support considered to help in transition</w:t>
            </w:r>
          </w:p>
        </w:tc>
        <w:tc>
          <w:tcPr>
            <w:tcW w:w="3600" w:type="dxa"/>
          </w:tcPr>
          <w:p w14:paraId="0F215E14" w14:textId="19CE63A5" w:rsidR="00FA066C" w:rsidRDefault="00FA066C" w:rsidP="00FA066C">
            <w:r>
              <w:t>Units and Business Centers making appointments</w:t>
            </w:r>
          </w:p>
        </w:tc>
      </w:tr>
      <w:tr w:rsidR="00FA066C" w14:paraId="539D49AA" w14:textId="77777777" w:rsidTr="004312F9">
        <w:tc>
          <w:tcPr>
            <w:tcW w:w="1516" w:type="dxa"/>
          </w:tcPr>
          <w:p w14:paraId="5E66E79B" w14:textId="77777777" w:rsidR="00FA066C" w:rsidRDefault="00FA066C" w:rsidP="00FA066C"/>
        </w:tc>
        <w:tc>
          <w:tcPr>
            <w:tcW w:w="3951" w:type="dxa"/>
          </w:tcPr>
          <w:p w14:paraId="2CD01A59" w14:textId="1DD168C4" w:rsidR="00FA066C" w:rsidRPr="009338FC" w:rsidRDefault="00FA066C" w:rsidP="00FA066C">
            <w:pPr>
              <w:rPr>
                <w:i/>
                <w:u w:val="single"/>
              </w:rPr>
            </w:pPr>
            <w:r w:rsidRPr="00345CB9">
              <w:rPr>
                <w:b/>
              </w:rPr>
              <w:t>Minimum full-time monthly salary rate will increase from $3661 to $3771 (this increase includes the 2% annual increment)</w:t>
            </w:r>
          </w:p>
        </w:tc>
        <w:tc>
          <w:tcPr>
            <w:tcW w:w="1899" w:type="dxa"/>
          </w:tcPr>
          <w:p w14:paraId="468F9788" w14:textId="05ACE70C" w:rsidR="00FA066C" w:rsidRDefault="00FA066C" w:rsidP="00FA066C">
            <w:r>
              <w:t>Sept. 2016</w:t>
            </w:r>
          </w:p>
        </w:tc>
        <w:tc>
          <w:tcPr>
            <w:tcW w:w="3510" w:type="dxa"/>
          </w:tcPr>
          <w:p w14:paraId="0DB51606" w14:textId="5528618B" w:rsidR="00FA066C" w:rsidRDefault="00FA066C" w:rsidP="00FA066C">
            <w:r>
              <w:t>Units; this is $54 per month for a 0.49 FTE appointment</w:t>
            </w:r>
          </w:p>
        </w:tc>
        <w:tc>
          <w:tcPr>
            <w:tcW w:w="3600" w:type="dxa"/>
          </w:tcPr>
          <w:p w14:paraId="771AA0F2" w14:textId="0932F574" w:rsidR="00FA066C" w:rsidRDefault="00FA066C" w:rsidP="00FA066C">
            <w:r>
              <w:t>Units and Business Centers; this is the last increase in the minimum.  The 2% annual increase for satisfactory progress continues and is effective from Sept 2016 forward</w:t>
            </w:r>
          </w:p>
        </w:tc>
      </w:tr>
      <w:tr w:rsidR="00FA066C" w:rsidRPr="00FF5FC9" w14:paraId="50573377" w14:textId="77777777" w:rsidTr="00A37EB9">
        <w:tc>
          <w:tcPr>
            <w:tcW w:w="1516" w:type="dxa"/>
            <w:shd w:val="clear" w:color="auto" w:fill="A6A6A6" w:themeFill="background1" w:themeFillShade="A6"/>
          </w:tcPr>
          <w:p w14:paraId="7503A08A" w14:textId="77777777" w:rsidR="00FA066C" w:rsidRPr="00FF5FC9" w:rsidRDefault="00FA066C" w:rsidP="00FA066C">
            <w:pPr>
              <w:rPr>
                <w:b/>
                <w:color w:val="FFFFFF" w:themeColor="background1"/>
              </w:rPr>
            </w:pPr>
            <w:r>
              <w:rPr>
                <w:b/>
                <w:color w:val="FFFFFF" w:themeColor="background1"/>
              </w:rPr>
              <w:t>Art. 12</w:t>
            </w:r>
          </w:p>
        </w:tc>
        <w:tc>
          <w:tcPr>
            <w:tcW w:w="3951" w:type="dxa"/>
            <w:shd w:val="clear" w:color="auto" w:fill="A6A6A6" w:themeFill="background1" w:themeFillShade="A6"/>
          </w:tcPr>
          <w:p w14:paraId="2732D348" w14:textId="77777777" w:rsidR="00FA066C" w:rsidRPr="00FF5FC9" w:rsidRDefault="00FA066C" w:rsidP="00FA066C">
            <w:pPr>
              <w:rPr>
                <w:b/>
                <w:color w:val="FFFFFF" w:themeColor="background1"/>
              </w:rPr>
            </w:pPr>
            <w:r>
              <w:rPr>
                <w:b/>
                <w:color w:val="FFFFFF" w:themeColor="background1"/>
              </w:rPr>
              <w:t>Tuition and Fees</w:t>
            </w:r>
          </w:p>
        </w:tc>
        <w:tc>
          <w:tcPr>
            <w:tcW w:w="1899" w:type="dxa"/>
            <w:shd w:val="clear" w:color="auto" w:fill="A6A6A6" w:themeFill="background1" w:themeFillShade="A6"/>
          </w:tcPr>
          <w:p w14:paraId="63E04274" w14:textId="77777777" w:rsidR="00FA066C" w:rsidRPr="00FF5FC9" w:rsidRDefault="00FA066C" w:rsidP="00FA066C">
            <w:pPr>
              <w:rPr>
                <w:b/>
                <w:color w:val="FFFFFF" w:themeColor="background1"/>
              </w:rPr>
            </w:pPr>
          </w:p>
        </w:tc>
        <w:tc>
          <w:tcPr>
            <w:tcW w:w="3510" w:type="dxa"/>
            <w:shd w:val="clear" w:color="auto" w:fill="A6A6A6" w:themeFill="background1" w:themeFillShade="A6"/>
          </w:tcPr>
          <w:p w14:paraId="2D62390E" w14:textId="77777777" w:rsidR="00FA066C" w:rsidRPr="00FF5FC9" w:rsidRDefault="00FA066C" w:rsidP="00FA066C">
            <w:pPr>
              <w:rPr>
                <w:b/>
                <w:color w:val="FFFFFF" w:themeColor="background1"/>
              </w:rPr>
            </w:pPr>
          </w:p>
        </w:tc>
        <w:tc>
          <w:tcPr>
            <w:tcW w:w="3600" w:type="dxa"/>
            <w:shd w:val="clear" w:color="auto" w:fill="A6A6A6" w:themeFill="background1" w:themeFillShade="A6"/>
          </w:tcPr>
          <w:p w14:paraId="2C338A8E" w14:textId="77777777" w:rsidR="00FA066C" w:rsidRPr="00FF5FC9" w:rsidRDefault="00FA066C" w:rsidP="00FA066C">
            <w:pPr>
              <w:rPr>
                <w:b/>
                <w:color w:val="FFFFFF" w:themeColor="background1"/>
              </w:rPr>
            </w:pPr>
          </w:p>
        </w:tc>
      </w:tr>
      <w:tr w:rsidR="00FA066C" w14:paraId="4990C687" w14:textId="77777777" w:rsidTr="004312F9">
        <w:tc>
          <w:tcPr>
            <w:tcW w:w="1516" w:type="dxa"/>
          </w:tcPr>
          <w:p w14:paraId="69B4E8F3" w14:textId="77777777" w:rsidR="00FA066C" w:rsidRDefault="00FA066C" w:rsidP="00FA066C"/>
        </w:tc>
        <w:tc>
          <w:tcPr>
            <w:tcW w:w="3951" w:type="dxa"/>
          </w:tcPr>
          <w:p w14:paraId="5C599D0C" w14:textId="64566EDA" w:rsidR="00FA066C" w:rsidRPr="00345CB9" w:rsidRDefault="00FA066C" w:rsidP="00FA066C">
            <w:pPr>
              <w:rPr>
                <w:b/>
              </w:rPr>
            </w:pPr>
            <w:r>
              <w:rPr>
                <w:b/>
              </w:rPr>
              <w:t>International fee remission; graduate assistants who pay SEVIS or visa fees can be reimbursed up to $360 maximum for those costs upon presentation of documentation</w:t>
            </w:r>
          </w:p>
        </w:tc>
        <w:tc>
          <w:tcPr>
            <w:tcW w:w="1899" w:type="dxa"/>
          </w:tcPr>
          <w:p w14:paraId="74EACF57" w14:textId="62E792A3" w:rsidR="00FA066C" w:rsidRDefault="00FA066C" w:rsidP="00FA066C">
            <w:r>
              <w:t>Sept. 2016</w:t>
            </w:r>
          </w:p>
        </w:tc>
        <w:tc>
          <w:tcPr>
            <w:tcW w:w="3510" w:type="dxa"/>
          </w:tcPr>
          <w:p w14:paraId="6F2131B7" w14:textId="68F15134" w:rsidR="00FA066C" w:rsidRDefault="00FA066C" w:rsidP="00FA066C">
            <w:r>
              <w:t>Centrally funded</w:t>
            </w:r>
          </w:p>
        </w:tc>
        <w:tc>
          <w:tcPr>
            <w:tcW w:w="3600" w:type="dxa"/>
          </w:tcPr>
          <w:p w14:paraId="677D3616" w14:textId="0CC51781" w:rsidR="00FA066C" w:rsidRDefault="00FA066C" w:rsidP="00FA066C">
            <w:r>
              <w:t>Office to handle the reimbursements is not yet identified; central office most likely</w:t>
            </w:r>
          </w:p>
        </w:tc>
      </w:tr>
      <w:tr w:rsidR="00FA066C" w14:paraId="3911B2AC" w14:textId="77777777" w:rsidTr="004312F9">
        <w:tc>
          <w:tcPr>
            <w:tcW w:w="1516" w:type="dxa"/>
          </w:tcPr>
          <w:p w14:paraId="2C9371B5" w14:textId="77777777" w:rsidR="00FA066C" w:rsidRDefault="00FA066C" w:rsidP="00FA066C"/>
        </w:tc>
        <w:tc>
          <w:tcPr>
            <w:tcW w:w="3951" w:type="dxa"/>
          </w:tcPr>
          <w:p w14:paraId="2F7DE8EC" w14:textId="00235AA7" w:rsidR="00FA066C" w:rsidRPr="00345CB9" w:rsidRDefault="00FA066C" w:rsidP="00FA066C">
            <w:pPr>
              <w:rPr>
                <w:b/>
              </w:rPr>
            </w:pPr>
            <w:r>
              <w:t>Required summer enrollment for graduate assistants reduced from 9 credit hours to 3 credit hours.</w:t>
            </w:r>
          </w:p>
        </w:tc>
        <w:tc>
          <w:tcPr>
            <w:tcW w:w="1899" w:type="dxa"/>
          </w:tcPr>
          <w:p w14:paraId="0C5D7A1B" w14:textId="2ED947F0" w:rsidR="00FA066C" w:rsidRDefault="00FA066C" w:rsidP="00FA066C">
            <w:r>
              <w:t>Sept</w:t>
            </w:r>
            <w:r>
              <w:t>.</w:t>
            </w:r>
            <w:r>
              <w:t xml:space="preserve"> 2016</w:t>
            </w:r>
          </w:p>
        </w:tc>
        <w:tc>
          <w:tcPr>
            <w:tcW w:w="3510" w:type="dxa"/>
          </w:tcPr>
          <w:p w14:paraId="79222583" w14:textId="6AF5CBDD" w:rsidR="00FA066C" w:rsidRDefault="00FA066C" w:rsidP="00FA066C">
            <w:r>
              <w:t>Unit level, but reduces costs.</w:t>
            </w:r>
          </w:p>
        </w:tc>
        <w:tc>
          <w:tcPr>
            <w:tcW w:w="3600" w:type="dxa"/>
          </w:tcPr>
          <w:p w14:paraId="2E060C46" w14:textId="729ADB29" w:rsidR="00FA066C" w:rsidRDefault="00FA066C" w:rsidP="00FA066C">
            <w:r>
              <w:t>Effective for Summer term, 2017, reduces the cost for appointing assistants; fee costs still the same.</w:t>
            </w:r>
          </w:p>
        </w:tc>
      </w:tr>
      <w:tr w:rsidR="00FA066C" w14:paraId="7F9DA655" w14:textId="77777777" w:rsidTr="00FA066C">
        <w:tc>
          <w:tcPr>
            <w:tcW w:w="1516" w:type="dxa"/>
            <w:shd w:val="clear" w:color="auto" w:fill="A6A6A6" w:themeFill="background1" w:themeFillShade="A6"/>
          </w:tcPr>
          <w:p w14:paraId="44BF47B1" w14:textId="165C77BB" w:rsidR="00FA066C" w:rsidRPr="00FA066C" w:rsidRDefault="00FA066C" w:rsidP="00FA066C">
            <w:pPr>
              <w:rPr>
                <w:b/>
                <w:color w:val="FFFFFF" w:themeColor="background1"/>
              </w:rPr>
            </w:pPr>
            <w:r w:rsidRPr="00FA066C">
              <w:rPr>
                <w:b/>
                <w:color w:val="FFFFFF" w:themeColor="background1"/>
              </w:rPr>
              <w:t>Art. 22</w:t>
            </w:r>
          </w:p>
        </w:tc>
        <w:tc>
          <w:tcPr>
            <w:tcW w:w="3951" w:type="dxa"/>
            <w:shd w:val="clear" w:color="auto" w:fill="A6A6A6" w:themeFill="background1" w:themeFillShade="A6"/>
          </w:tcPr>
          <w:p w14:paraId="792E2CDC" w14:textId="55DFB26C" w:rsidR="00FA066C" w:rsidRPr="00FA066C" w:rsidRDefault="00FA066C" w:rsidP="00FA066C">
            <w:pPr>
              <w:rPr>
                <w:b/>
                <w:color w:val="FFFFFF" w:themeColor="background1"/>
              </w:rPr>
            </w:pPr>
            <w:r w:rsidRPr="00FA066C">
              <w:rPr>
                <w:b/>
                <w:color w:val="FFFFFF" w:themeColor="background1"/>
              </w:rPr>
              <w:t>Parking Pre-Tax Deductions</w:t>
            </w:r>
          </w:p>
        </w:tc>
        <w:tc>
          <w:tcPr>
            <w:tcW w:w="1899" w:type="dxa"/>
            <w:shd w:val="clear" w:color="auto" w:fill="A6A6A6" w:themeFill="background1" w:themeFillShade="A6"/>
          </w:tcPr>
          <w:p w14:paraId="7B7BF2C6" w14:textId="70AAEC52" w:rsidR="00FA066C" w:rsidRPr="00FA066C" w:rsidRDefault="00FA066C" w:rsidP="00FA066C">
            <w:pPr>
              <w:rPr>
                <w:b/>
                <w:color w:val="FFFFFF" w:themeColor="background1"/>
              </w:rPr>
            </w:pPr>
          </w:p>
        </w:tc>
        <w:tc>
          <w:tcPr>
            <w:tcW w:w="3510" w:type="dxa"/>
            <w:shd w:val="clear" w:color="auto" w:fill="A6A6A6" w:themeFill="background1" w:themeFillShade="A6"/>
          </w:tcPr>
          <w:p w14:paraId="5D1D83B3" w14:textId="77777777" w:rsidR="00FA066C" w:rsidRPr="00FA066C" w:rsidRDefault="00FA066C" w:rsidP="00FA066C">
            <w:pPr>
              <w:rPr>
                <w:b/>
                <w:color w:val="FFFFFF" w:themeColor="background1"/>
              </w:rPr>
            </w:pPr>
          </w:p>
        </w:tc>
        <w:tc>
          <w:tcPr>
            <w:tcW w:w="3600" w:type="dxa"/>
            <w:shd w:val="clear" w:color="auto" w:fill="A6A6A6" w:themeFill="background1" w:themeFillShade="A6"/>
          </w:tcPr>
          <w:p w14:paraId="505247E9" w14:textId="77777777" w:rsidR="00FA066C" w:rsidRPr="00FA066C" w:rsidRDefault="00FA066C" w:rsidP="00FA066C">
            <w:pPr>
              <w:rPr>
                <w:b/>
                <w:color w:val="FFFFFF" w:themeColor="background1"/>
              </w:rPr>
            </w:pPr>
          </w:p>
        </w:tc>
      </w:tr>
      <w:tr w:rsidR="00FA066C" w14:paraId="468FAA82" w14:textId="77777777" w:rsidTr="00FA066C">
        <w:tc>
          <w:tcPr>
            <w:tcW w:w="1516" w:type="dxa"/>
            <w:shd w:val="clear" w:color="auto" w:fill="auto"/>
          </w:tcPr>
          <w:p w14:paraId="03FF2A7C" w14:textId="77777777" w:rsidR="00FA066C" w:rsidRPr="00FA066C" w:rsidRDefault="00FA066C" w:rsidP="00FA066C">
            <w:pPr>
              <w:rPr>
                <w:color w:val="auto"/>
              </w:rPr>
            </w:pPr>
          </w:p>
        </w:tc>
        <w:tc>
          <w:tcPr>
            <w:tcW w:w="3951" w:type="dxa"/>
            <w:shd w:val="clear" w:color="auto" w:fill="auto"/>
          </w:tcPr>
          <w:p w14:paraId="6F0D8D84" w14:textId="24D81A79" w:rsidR="00FA066C" w:rsidRPr="00FA066C" w:rsidRDefault="00FA066C" w:rsidP="00FA066C">
            <w:pPr>
              <w:rPr>
                <w:color w:val="auto"/>
              </w:rPr>
            </w:pPr>
            <w:r>
              <w:rPr>
                <w:color w:val="auto"/>
              </w:rPr>
              <w:t>Graduate Assistants may choose to deduct costs of annual parking permits from payroll. Annual cost spread over October, November, December payroll deductions</w:t>
            </w:r>
          </w:p>
        </w:tc>
        <w:tc>
          <w:tcPr>
            <w:tcW w:w="1899" w:type="dxa"/>
            <w:shd w:val="clear" w:color="auto" w:fill="auto"/>
          </w:tcPr>
          <w:p w14:paraId="75FB032D" w14:textId="2B4E5370" w:rsidR="00FA066C" w:rsidRPr="00FA066C" w:rsidRDefault="00FA066C" w:rsidP="00FA066C">
            <w:pPr>
              <w:rPr>
                <w:color w:val="auto"/>
              </w:rPr>
            </w:pPr>
            <w:r>
              <w:rPr>
                <w:color w:val="auto"/>
              </w:rPr>
              <w:t>Sept. 2016</w:t>
            </w:r>
          </w:p>
        </w:tc>
        <w:tc>
          <w:tcPr>
            <w:tcW w:w="3510" w:type="dxa"/>
            <w:shd w:val="clear" w:color="auto" w:fill="auto"/>
          </w:tcPr>
          <w:p w14:paraId="39B5C9DD" w14:textId="23BFBF69" w:rsidR="00FA066C" w:rsidRPr="00FA066C" w:rsidRDefault="00F3302F" w:rsidP="00FA066C">
            <w:pPr>
              <w:rPr>
                <w:color w:val="auto"/>
              </w:rPr>
            </w:pPr>
            <w:r>
              <w:rPr>
                <w:color w:val="auto"/>
              </w:rPr>
              <w:t>Administrative costs</w:t>
            </w:r>
          </w:p>
        </w:tc>
        <w:tc>
          <w:tcPr>
            <w:tcW w:w="3600" w:type="dxa"/>
            <w:shd w:val="clear" w:color="auto" w:fill="auto"/>
          </w:tcPr>
          <w:p w14:paraId="0E0DE826" w14:textId="7EC09B5C" w:rsidR="00FA066C" w:rsidRPr="00FA066C" w:rsidRDefault="00F3302F" w:rsidP="00FA066C">
            <w:pPr>
              <w:rPr>
                <w:color w:val="auto"/>
              </w:rPr>
            </w:pPr>
            <w:r>
              <w:rPr>
                <w:color w:val="auto"/>
              </w:rPr>
              <w:t>Payroll, Transportation Services</w:t>
            </w:r>
          </w:p>
        </w:tc>
      </w:tr>
      <w:tr w:rsidR="00FA066C" w14:paraId="10A77914" w14:textId="77777777" w:rsidTr="00FA066C">
        <w:tc>
          <w:tcPr>
            <w:tcW w:w="1516" w:type="dxa"/>
            <w:shd w:val="clear" w:color="auto" w:fill="A6A6A6" w:themeFill="background1" w:themeFillShade="A6"/>
          </w:tcPr>
          <w:p w14:paraId="4941CA89" w14:textId="2333E7AA" w:rsidR="00FA066C" w:rsidRPr="00FA066C" w:rsidRDefault="00FA066C" w:rsidP="00FA066C">
            <w:pPr>
              <w:rPr>
                <w:b/>
                <w:color w:val="FFFFFF" w:themeColor="background1"/>
              </w:rPr>
            </w:pPr>
            <w:r w:rsidRPr="00FA066C">
              <w:rPr>
                <w:b/>
                <w:color w:val="FFFFFF" w:themeColor="background1"/>
              </w:rPr>
              <w:t>Art. 25</w:t>
            </w:r>
          </w:p>
        </w:tc>
        <w:tc>
          <w:tcPr>
            <w:tcW w:w="3951" w:type="dxa"/>
            <w:shd w:val="clear" w:color="auto" w:fill="A6A6A6" w:themeFill="background1" w:themeFillShade="A6"/>
          </w:tcPr>
          <w:p w14:paraId="7C03CEFF" w14:textId="65194FF3" w:rsidR="00FA066C" w:rsidRPr="00FA066C" w:rsidRDefault="00FA066C" w:rsidP="00FA066C">
            <w:pPr>
              <w:rPr>
                <w:b/>
                <w:color w:val="FFFFFF" w:themeColor="background1"/>
              </w:rPr>
            </w:pPr>
            <w:r w:rsidRPr="00FA066C">
              <w:rPr>
                <w:b/>
                <w:color w:val="FFFFFF" w:themeColor="background1"/>
              </w:rPr>
              <w:t>Health and Safety</w:t>
            </w:r>
          </w:p>
        </w:tc>
        <w:tc>
          <w:tcPr>
            <w:tcW w:w="1899" w:type="dxa"/>
            <w:shd w:val="clear" w:color="auto" w:fill="A6A6A6" w:themeFill="background1" w:themeFillShade="A6"/>
          </w:tcPr>
          <w:p w14:paraId="3928F5B0" w14:textId="77777777" w:rsidR="00FA066C" w:rsidRPr="00FA066C" w:rsidRDefault="00FA066C" w:rsidP="00FA066C">
            <w:pPr>
              <w:rPr>
                <w:b/>
                <w:color w:val="FFFFFF" w:themeColor="background1"/>
              </w:rPr>
            </w:pPr>
          </w:p>
        </w:tc>
        <w:tc>
          <w:tcPr>
            <w:tcW w:w="3510" w:type="dxa"/>
            <w:shd w:val="clear" w:color="auto" w:fill="A6A6A6" w:themeFill="background1" w:themeFillShade="A6"/>
          </w:tcPr>
          <w:p w14:paraId="73662DE3" w14:textId="77777777" w:rsidR="00FA066C" w:rsidRPr="00FA066C" w:rsidRDefault="00FA066C" w:rsidP="00FA066C">
            <w:pPr>
              <w:rPr>
                <w:b/>
                <w:color w:val="FFFFFF" w:themeColor="background1"/>
              </w:rPr>
            </w:pPr>
          </w:p>
        </w:tc>
        <w:tc>
          <w:tcPr>
            <w:tcW w:w="3600" w:type="dxa"/>
            <w:shd w:val="clear" w:color="auto" w:fill="A6A6A6" w:themeFill="background1" w:themeFillShade="A6"/>
          </w:tcPr>
          <w:p w14:paraId="31FB4C36" w14:textId="77777777" w:rsidR="00FA066C" w:rsidRPr="00FA066C" w:rsidRDefault="00FA066C" w:rsidP="00FA066C">
            <w:pPr>
              <w:rPr>
                <w:b/>
                <w:color w:val="FFFFFF" w:themeColor="background1"/>
              </w:rPr>
            </w:pPr>
          </w:p>
        </w:tc>
      </w:tr>
      <w:tr w:rsidR="00FA066C" w14:paraId="0F97AD30" w14:textId="77777777" w:rsidTr="00FA066C">
        <w:tc>
          <w:tcPr>
            <w:tcW w:w="1516" w:type="dxa"/>
            <w:shd w:val="clear" w:color="auto" w:fill="auto"/>
          </w:tcPr>
          <w:p w14:paraId="53A3E6C0" w14:textId="77777777" w:rsidR="00FA066C" w:rsidRDefault="00FA066C" w:rsidP="00FA066C">
            <w:pPr>
              <w:rPr>
                <w:color w:val="auto"/>
              </w:rPr>
            </w:pPr>
          </w:p>
        </w:tc>
        <w:tc>
          <w:tcPr>
            <w:tcW w:w="3951" w:type="dxa"/>
            <w:shd w:val="clear" w:color="auto" w:fill="auto"/>
          </w:tcPr>
          <w:p w14:paraId="51D82652" w14:textId="697CF5AE" w:rsidR="00FA066C" w:rsidRPr="00FA066C" w:rsidRDefault="00FA066C" w:rsidP="00FA066C">
            <w:pPr>
              <w:rPr>
                <w:color w:val="auto"/>
              </w:rPr>
            </w:pPr>
            <w:r w:rsidRPr="00FA066C">
              <w:rPr>
                <w:color w:val="auto"/>
              </w:rPr>
              <w:t>If there is field work in the assignment there is training for safe operation of equipment, sexual harassment, first-aid, and emergency contact protocols; includes providing necessary personal protective equipment</w:t>
            </w:r>
          </w:p>
        </w:tc>
        <w:tc>
          <w:tcPr>
            <w:tcW w:w="1899" w:type="dxa"/>
            <w:shd w:val="clear" w:color="auto" w:fill="auto"/>
          </w:tcPr>
          <w:p w14:paraId="6C42F812" w14:textId="79E9F3E4" w:rsidR="00FA066C" w:rsidRPr="00FA066C" w:rsidRDefault="00FA066C" w:rsidP="00FA066C">
            <w:pPr>
              <w:rPr>
                <w:color w:val="auto"/>
              </w:rPr>
            </w:pPr>
            <w:r w:rsidRPr="00FA066C">
              <w:rPr>
                <w:color w:val="auto"/>
              </w:rPr>
              <w:t>Sept 2016</w:t>
            </w:r>
          </w:p>
        </w:tc>
        <w:tc>
          <w:tcPr>
            <w:tcW w:w="3510" w:type="dxa"/>
            <w:shd w:val="clear" w:color="auto" w:fill="auto"/>
          </w:tcPr>
          <w:p w14:paraId="6033B409" w14:textId="1F3E704F" w:rsidR="00FA066C" w:rsidRPr="00FA066C" w:rsidRDefault="00FA066C" w:rsidP="00FA066C">
            <w:pPr>
              <w:rPr>
                <w:color w:val="auto"/>
              </w:rPr>
            </w:pPr>
            <w:r w:rsidRPr="00FA066C">
              <w:rPr>
                <w:color w:val="auto"/>
              </w:rPr>
              <w:t>Unit or employing fund; responsibility of appointing unit</w:t>
            </w:r>
          </w:p>
        </w:tc>
        <w:tc>
          <w:tcPr>
            <w:tcW w:w="3600" w:type="dxa"/>
            <w:shd w:val="clear" w:color="auto" w:fill="auto"/>
          </w:tcPr>
          <w:p w14:paraId="3A8EB3E2" w14:textId="3967518E" w:rsidR="00FA066C" w:rsidRPr="00FA066C" w:rsidRDefault="00FA066C" w:rsidP="00FA066C">
            <w:pPr>
              <w:rPr>
                <w:color w:val="auto"/>
              </w:rPr>
            </w:pPr>
            <w:r w:rsidRPr="00FA066C">
              <w:rPr>
                <w:color w:val="auto"/>
              </w:rPr>
              <w:t>Appointing units</w:t>
            </w:r>
          </w:p>
        </w:tc>
      </w:tr>
      <w:tr w:rsidR="00FA066C" w14:paraId="14027D04" w14:textId="77777777" w:rsidTr="004312F9">
        <w:tc>
          <w:tcPr>
            <w:tcW w:w="1516" w:type="dxa"/>
            <w:shd w:val="clear" w:color="auto" w:fill="A6A6A6" w:themeFill="background1" w:themeFillShade="A6"/>
          </w:tcPr>
          <w:p w14:paraId="2EDC6EB2" w14:textId="70076EFC" w:rsidR="00FA066C" w:rsidRPr="00B462DC" w:rsidRDefault="00FA066C" w:rsidP="00FA066C">
            <w:pPr>
              <w:rPr>
                <w:b/>
                <w:color w:val="FFFFFF" w:themeColor="background1"/>
              </w:rPr>
            </w:pPr>
            <w:r>
              <w:rPr>
                <w:b/>
                <w:color w:val="FFFFFF" w:themeColor="background1"/>
              </w:rPr>
              <w:t>Art. 28</w:t>
            </w:r>
          </w:p>
        </w:tc>
        <w:tc>
          <w:tcPr>
            <w:tcW w:w="3951" w:type="dxa"/>
            <w:shd w:val="clear" w:color="auto" w:fill="A6A6A6" w:themeFill="background1" w:themeFillShade="A6"/>
          </w:tcPr>
          <w:p w14:paraId="635BB72F" w14:textId="4A63AFFF" w:rsidR="00FA066C" w:rsidRPr="00B462DC" w:rsidRDefault="00FA066C" w:rsidP="00FA066C">
            <w:pPr>
              <w:rPr>
                <w:b/>
                <w:color w:val="FFFFFF" w:themeColor="background1"/>
              </w:rPr>
            </w:pPr>
            <w:r>
              <w:rPr>
                <w:b/>
                <w:color w:val="FFFFFF" w:themeColor="background1"/>
              </w:rPr>
              <w:t xml:space="preserve">Health </w:t>
            </w:r>
            <w:r w:rsidRPr="00B462DC">
              <w:rPr>
                <w:b/>
                <w:color w:val="FFFFFF" w:themeColor="background1"/>
              </w:rPr>
              <w:t>Insurance</w:t>
            </w:r>
          </w:p>
        </w:tc>
        <w:tc>
          <w:tcPr>
            <w:tcW w:w="1899" w:type="dxa"/>
            <w:shd w:val="clear" w:color="auto" w:fill="A6A6A6" w:themeFill="background1" w:themeFillShade="A6"/>
          </w:tcPr>
          <w:p w14:paraId="508F6682" w14:textId="77777777" w:rsidR="00FA066C" w:rsidRPr="00974734" w:rsidRDefault="00FA066C" w:rsidP="00FA066C">
            <w:pPr>
              <w:rPr>
                <w:color w:val="FFFFFF" w:themeColor="background1"/>
              </w:rPr>
            </w:pPr>
          </w:p>
        </w:tc>
        <w:tc>
          <w:tcPr>
            <w:tcW w:w="3510" w:type="dxa"/>
            <w:shd w:val="clear" w:color="auto" w:fill="A6A6A6" w:themeFill="background1" w:themeFillShade="A6"/>
          </w:tcPr>
          <w:p w14:paraId="285C5A4D" w14:textId="77777777" w:rsidR="00FA066C" w:rsidRPr="00974734" w:rsidRDefault="00FA066C" w:rsidP="00FA066C">
            <w:pPr>
              <w:rPr>
                <w:color w:val="FFFFFF" w:themeColor="background1"/>
              </w:rPr>
            </w:pPr>
          </w:p>
        </w:tc>
        <w:tc>
          <w:tcPr>
            <w:tcW w:w="3600" w:type="dxa"/>
            <w:shd w:val="clear" w:color="auto" w:fill="A6A6A6" w:themeFill="background1" w:themeFillShade="A6"/>
          </w:tcPr>
          <w:p w14:paraId="7A0103FA" w14:textId="77777777" w:rsidR="00FA066C" w:rsidRPr="00974734" w:rsidRDefault="00FA066C" w:rsidP="00FA066C">
            <w:pPr>
              <w:rPr>
                <w:color w:val="FFFFFF" w:themeColor="background1"/>
              </w:rPr>
            </w:pPr>
          </w:p>
        </w:tc>
      </w:tr>
      <w:tr w:rsidR="00FA066C" w14:paraId="1F6C84CD" w14:textId="77777777" w:rsidTr="004312F9">
        <w:tc>
          <w:tcPr>
            <w:tcW w:w="1516" w:type="dxa"/>
          </w:tcPr>
          <w:p w14:paraId="6EC82821" w14:textId="77777777" w:rsidR="00FA066C" w:rsidRDefault="00FA066C" w:rsidP="00FA066C"/>
        </w:tc>
        <w:tc>
          <w:tcPr>
            <w:tcW w:w="3951" w:type="dxa"/>
          </w:tcPr>
          <w:p w14:paraId="3E82CB35" w14:textId="598F6FFD" w:rsidR="00FA066C" w:rsidRDefault="00FA066C" w:rsidP="00FA066C">
            <w:r>
              <w:t xml:space="preserve">Graduate assistants (and their dependents as appropriate) will be auto-enrolled each term they are eligible, including summer </w:t>
            </w:r>
          </w:p>
        </w:tc>
        <w:tc>
          <w:tcPr>
            <w:tcW w:w="1899" w:type="dxa"/>
          </w:tcPr>
          <w:p w14:paraId="3ABA9868" w14:textId="6839A6B7" w:rsidR="00FA066C" w:rsidRDefault="00FA066C" w:rsidP="00FA066C">
            <w:r>
              <w:t>Sept. 2016</w:t>
            </w:r>
          </w:p>
        </w:tc>
        <w:tc>
          <w:tcPr>
            <w:tcW w:w="3510" w:type="dxa"/>
          </w:tcPr>
          <w:p w14:paraId="237593B1" w14:textId="3A3AB2BD" w:rsidR="00FA066C" w:rsidRDefault="00FA066C" w:rsidP="00FA066C">
            <w:r>
              <w:t>Likely no cost net, once students adapt to opt-out need</w:t>
            </w:r>
          </w:p>
        </w:tc>
        <w:tc>
          <w:tcPr>
            <w:tcW w:w="3600" w:type="dxa"/>
          </w:tcPr>
          <w:p w14:paraId="70AFB2D5" w14:textId="78AF3080" w:rsidR="00FA066C" w:rsidRDefault="00FA066C" w:rsidP="00FA066C">
            <w:r>
              <w:t>Student Health Services (SHS), Payroll, Central Human Resources</w:t>
            </w:r>
          </w:p>
        </w:tc>
      </w:tr>
      <w:tr w:rsidR="00FA066C" w14:paraId="60282845" w14:textId="77777777" w:rsidTr="004312F9">
        <w:tc>
          <w:tcPr>
            <w:tcW w:w="1516" w:type="dxa"/>
          </w:tcPr>
          <w:p w14:paraId="32CA2069" w14:textId="77777777" w:rsidR="00FA066C" w:rsidRPr="00C60622" w:rsidRDefault="00FA066C" w:rsidP="00FA066C">
            <w:pPr>
              <w:rPr>
                <w:b/>
              </w:rPr>
            </w:pPr>
          </w:p>
        </w:tc>
        <w:tc>
          <w:tcPr>
            <w:tcW w:w="3951" w:type="dxa"/>
          </w:tcPr>
          <w:p w14:paraId="212F63D9" w14:textId="0FB8776C" w:rsidR="00FA066C" w:rsidRPr="00C60622" w:rsidRDefault="00FA066C" w:rsidP="00FA066C">
            <w:pPr>
              <w:rPr>
                <w:b/>
              </w:rPr>
            </w:pPr>
            <w:r w:rsidRPr="00C60622">
              <w:rPr>
                <w:b/>
              </w:rPr>
              <w:t xml:space="preserve">University contribution to 87% from 85%; all terms (academic and summer), all coverage plans the same contribution </w:t>
            </w:r>
            <w:r>
              <w:rPr>
                <w:b/>
              </w:rPr>
              <w:t>percentage</w:t>
            </w:r>
          </w:p>
        </w:tc>
        <w:tc>
          <w:tcPr>
            <w:tcW w:w="1899" w:type="dxa"/>
          </w:tcPr>
          <w:p w14:paraId="3216383A" w14:textId="73E48C58" w:rsidR="00FA066C" w:rsidRDefault="00FA066C" w:rsidP="00FA066C">
            <w:r>
              <w:t>Sept. 2016</w:t>
            </w:r>
          </w:p>
        </w:tc>
        <w:tc>
          <w:tcPr>
            <w:tcW w:w="3510" w:type="dxa"/>
          </w:tcPr>
          <w:p w14:paraId="1977CBFC" w14:textId="2883E717" w:rsidR="00FA066C" w:rsidRDefault="00FA066C" w:rsidP="00FA066C">
            <w:r>
              <w:t>Centrally budgeted for E&amp;G funds; other funds responsible for costs; employee rate will be charged to funds at an average “blended rate” so it will not matter what coverage the Assistant selects</w:t>
            </w:r>
          </w:p>
        </w:tc>
        <w:tc>
          <w:tcPr>
            <w:tcW w:w="3600" w:type="dxa"/>
          </w:tcPr>
          <w:p w14:paraId="23D93DE4" w14:textId="470B7A5E" w:rsidR="00FA066C" w:rsidRDefault="00FA066C" w:rsidP="00FA066C">
            <w:r>
              <w:t>Student Health Services (SHS), Payroll, Central Human Resources.  Costs partially offset by CGE agreement to plan changes reducing premium increase from 4% to 2.5%</w:t>
            </w:r>
          </w:p>
        </w:tc>
      </w:tr>
      <w:tr w:rsidR="00FA066C" w14:paraId="6AD568F0" w14:textId="77777777" w:rsidTr="004312F9">
        <w:tc>
          <w:tcPr>
            <w:tcW w:w="1516" w:type="dxa"/>
          </w:tcPr>
          <w:p w14:paraId="292622D6" w14:textId="77777777" w:rsidR="00FA066C" w:rsidRPr="00C60622" w:rsidRDefault="00FA066C" w:rsidP="00FA066C">
            <w:pPr>
              <w:rPr>
                <w:b/>
              </w:rPr>
            </w:pPr>
          </w:p>
        </w:tc>
        <w:tc>
          <w:tcPr>
            <w:tcW w:w="3951" w:type="dxa"/>
          </w:tcPr>
          <w:p w14:paraId="7F9DD41A" w14:textId="0F4A1C23" w:rsidR="00FA066C" w:rsidRPr="00C60622" w:rsidRDefault="00FA066C" w:rsidP="00FA066C">
            <w:pPr>
              <w:rPr>
                <w:b/>
              </w:rPr>
            </w:pPr>
            <w:r w:rsidRPr="00C60622">
              <w:rPr>
                <w:b/>
              </w:rPr>
              <w:t>University contribution to 88% from 87%; all terms (academic and summer), all coverage plans the same contribution rate</w:t>
            </w:r>
          </w:p>
        </w:tc>
        <w:tc>
          <w:tcPr>
            <w:tcW w:w="1899" w:type="dxa"/>
          </w:tcPr>
          <w:p w14:paraId="64DEDF02" w14:textId="1E624ECD" w:rsidR="00FA066C" w:rsidRDefault="00FA066C" w:rsidP="00FA066C">
            <w:r>
              <w:t>Sept. 2017</w:t>
            </w:r>
          </w:p>
        </w:tc>
        <w:tc>
          <w:tcPr>
            <w:tcW w:w="3510" w:type="dxa"/>
          </w:tcPr>
          <w:p w14:paraId="551E296A" w14:textId="77777777" w:rsidR="00FA066C" w:rsidRDefault="00FA066C" w:rsidP="00FA066C">
            <w:r>
              <w:t>Centrally budgeted for E&amp;G funds; other funds responsible for costs</w:t>
            </w:r>
          </w:p>
        </w:tc>
        <w:tc>
          <w:tcPr>
            <w:tcW w:w="3600" w:type="dxa"/>
          </w:tcPr>
          <w:p w14:paraId="0127B19C" w14:textId="4481D3BB" w:rsidR="00FA066C" w:rsidRDefault="00FA066C" w:rsidP="00FA066C">
            <w:r>
              <w:t xml:space="preserve">Student Health Services (SHS), Payroll, Central Human Resources  </w:t>
            </w:r>
          </w:p>
        </w:tc>
      </w:tr>
      <w:tr w:rsidR="00FA066C" w14:paraId="0B863AAF" w14:textId="77777777" w:rsidTr="004312F9">
        <w:tc>
          <w:tcPr>
            <w:tcW w:w="1516" w:type="dxa"/>
          </w:tcPr>
          <w:p w14:paraId="79A91390" w14:textId="77777777" w:rsidR="00FA066C" w:rsidRPr="00C60622" w:rsidRDefault="00FA066C" w:rsidP="00FA066C">
            <w:pPr>
              <w:rPr>
                <w:b/>
              </w:rPr>
            </w:pPr>
          </w:p>
        </w:tc>
        <w:tc>
          <w:tcPr>
            <w:tcW w:w="3951" w:type="dxa"/>
          </w:tcPr>
          <w:p w14:paraId="1827B308" w14:textId="37134775" w:rsidR="00FA066C" w:rsidRPr="00C60622" w:rsidRDefault="00FA066C" w:rsidP="00FA066C">
            <w:pPr>
              <w:rPr>
                <w:b/>
              </w:rPr>
            </w:pPr>
            <w:r w:rsidRPr="00C60622">
              <w:rPr>
                <w:b/>
              </w:rPr>
              <w:t>University contribution to 89% from 88%; all terms (academic and summer), all coverage plans the same contribution rate</w:t>
            </w:r>
          </w:p>
        </w:tc>
        <w:tc>
          <w:tcPr>
            <w:tcW w:w="1899" w:type="dxa"/>
          </w:tcPr>
          <w:p w14:paraId="460BF1E1" w14:textId="77B75A81" w:rsidR="00FA066C" w:rsidRDefault="00FA066C" w:rsidP="00FA066C">
            <w:r>
              <w:t>Sept. 2018</w:t>
            </w:r>
          </w:p>
        </w:tc>
        <w:tc>
          <w:tcPr>
            <w:tcW w:w="3510" w:type="dxa"/>
          </w:tcPr>
          <w:p w14:paraId="534B1283" w14:textId="77777777" w:rsidR="00FA066C" w:rsidRDefault="00FA066C" w:rsidP="00FA066C">
            <w:r>
              <w:t>Centrally budgeted for E&amp;G funds; other funds responsible for costs</w:t>
            </w:r>
          </w:p>
        </w:tc>
        <w:tc>
          <w:tcPr>
            <w:tcW w:w="3600" w:type="dxa"/>
          </w:tcPr>
          <w:p w14:paraId="02121A43" w14:textId="40CE3FC1" w:rsidR="00FA066C" w:rsidRDefault="00FA066C" w:rsidP="00FA066C">
            <w:r>
              <w:t>Student Health Services (SHS), Payroll, Central Human Resources</w:t>
            </w:r>
          </w:p>
        </w:tc>
      </w:tr>
      <w:tr w:rsidR="00FA066C" w14:paraId="216DD785" w14:textId="77777777" w:rsidTr="004312F9">
        <w:tc>
          <w:tcPr>
            <w:tcW w:w="1516" w:type="dxa"/>
          </w:tcPr>
          <w:p w14:paraId="202CD4BB" w14:textId="77777777" w:rsidR="00FA066C" w:rsidRPr="00C60622" w:rsidRDefault="00FA066C" w:rsidP="00FA066C">
            <w:pPr>
              <w:rPr>
                <w:b/>
              </w:rPr>
            </w:pPr>
          </w:p>
        </w:tc>
        <w:tc>
          <w:tcPr>
            <w:tcW w:w="3951" w:type="dxa"/>
          </w:tcPr>
          <w:p w14:paraId="378603D9" w14:textId="66608720" w:rsidR="00FA066C" w:rsidRPr="00C60622" w:rsidRDefault="00FA066C" w:rsidP="00FA066C">
            <w:pPr>
              <w:rPr>
                <w:b/>
              </w:rPr>
            </w:pPr>
            <w:r w:rsidRPr="00C60622">
              <w:rPr>
                <w:b/>
              </w:rPr>
              <w:t>University contribution to 90% from 89%; all terms (academic and summer), all coverage plans the same contribution rate</w:t>
            </w:r>
          </w:p>
        </w:tc>
        <w:tc>
          <w:tcPr>
            <w:tcW w:w="1899" w:type="dxa"/>
          </w:tcPr>
          <w:p w14:paraId="2B4E761D" w14:textId="77777777" w:rsidR="00FA066C" w:rsidRDefault="00FA066C" w:rsidP="00FA066C">
            <w:r>
              <w:t>Sept 2019</w:t>
            </w:r>
          </w:p>
        </w:tc>
        <w:tc>
          <w:tcPr>
            <w:tcW w:w="3510" w:type="dxa"/>
          </w:tcPr>
          <w:p w14:paraId="7C15FC5D" w14:textId="77777777" w:rsidR="00FA066C" w:rsidRDefault="00FA066C" w:rsidP="00FA066C">
            <w:r>
              <w:t>Centrally budgeted for E&amp;G funds; other funds responsible for costs</w:t>
            </w:r>
          </w:p>
        </w:tc>
        <w:tc>
          <w:tcPr>
            <w:tcW w:w="3600" w:type="dxa"/>
          </w:tcPr>
          <w:p w14:paraId="727F8713" w14:textId="12A04133" w:rsidR="00FA066C" w:rsidRDefault="00FA066C" w:rsidP="00FA066C">
            <w:r>
              <w:t>Student Health Services (SHS), Payroll, Central Human Resources</w:t>
            </w:r>
          </w:p>
        </w:tc>
      </w:tr>
      <w:tr w:rsidR="00FA066C" w14:paraId="6C7AE516" w14:textId="77777777" w:rsidTr="004312F9">
        <w:tc>
          <w:tcPr>
            <w:tcW w:w="1516" w:type="dxa"/>
          </w:tcPr>
          <w:p w14:paraId="101C2864" w14:textId="77777777" w:rsidR="00FA066C" w:rsidRDefault="00FA066C" w:rsidP="00FA066C"/>
        </w:tc>
        <w:tc>
          <w:tcPr>
            <w:tcW w:w="3951" w:type="dxa"/>
          </w:tcPr>
          <w:p w14:paraId="0DF1C749" w14:textId="72E9D84E" w:rsidR="00FA066C" w:rsidRDefault="00FA066C" w:rsidP="00FA066C">
            <w:r>
              <w:t>Eligible graduate assistants will be automatically enrolled in summer term health coverage; coverage will match last selected plan</w:t>
            </w:r>
          </w:p>
        </w:tc>
        <w:tc>
          <w:tcPr>
            <w:tcW w:w="1899" w:type="dxa"/>
          </w:tcPr>
          <w:p w14:paraId="0F76F751" w14:textId="77777777" w:rsidR="00FA066C" w:rsidRDefault="00FA066C" w:rsidP="00FA066C">
            <w:r>
              <w:t>Summer, 2017</w:t>
            </w:r>
          </w:p>
        </w:tc>
        <w:tc>
          <w:tcPr>
            <w:tcW w:w="3510" w:type="dxa"/>
          </w:tcPr>
          <w:p w14:paraId="61FA8FF4" w14:textId="77777777" w:rsidR="00FA066C" w:rsidRDefault="00FA066C" w:rsidP="00FA066C">
            <w:r>
              <w:t>Premium increases as above, otherwise the same</w:t>
            </w:r>
          </w:p>
        </w:tc>
        <w:tc>
          <w:tcPr>
            <w:tcW w:w="3600" w:type="dxa"/>
          </w:tcPr>
          <w:p w14:paraId="64715FF3" w14:textId="77777777" w:rsidR="00FA066C" w:rsidRDefault="00FA066C" w:rsidP="00FA066C">
            <w:r>
              <w:t>Student Health Services (SHS), Payroll, Human Resources</w:t>
            </w:r>
          </w:p>
        </w:tc>
      </w:tr>
      <w:tr w:rsidR="00FA066C" w14:paraId="10057EC3" w14:textId="77777777" w:rsidTr="004312F9">
        <w:tc>
          <w:tcPr>
            <w:tcW w:w="1516" w:type="dxa"/>
          </w:tcPr>
          <w:p w14:paraId="5A4A4F50" w14:textId="77777777" w:rsidR="00FA066C" w:rsidRDefault="00FA066C" w:rsidP="00FA066C"/>
        </w:tc>
        <w:tc>
          <w:tcPr>
            <w:tcW w:w="3951" w:type="dxa"/>
          </w:tcPr>
          <w:p w14:paraId="41B367D7" w14:textId="1240A051" w:rsidR="00FA066C" w:rsidRDefault="00FA066C" w:rsidP="00FA066C">
            <w:r>
              <w:t>To make summer auto-enroll possible, 1/9 of summer session employee contribution to insurance will be deducted each month of an Assistant’s appointment; these will be held for summer; opt-out of summer by May 1 will trigger a reimbursement to the Assistant and to the fund paying the University contribution</w:t>
            </w:r>
          </w:p>
        </w:tc>
        <w:tc>
          <w:tcPr>
            <w:tcW w:w="1899" w:type="dxa"/>
          </w:tcPr>
          <w:p w14:paraId="1AA37DD9" w14:textId="1775A5CF" w:rsidR="00FA066C" w:rsidRDefault="00FA066C" w:rsidP="00FA066C">
            <w:r>
              <w:t>Sept. 2016 (to build fund for Summer</w:t>
            </w:r>
            <w:bookmarkStart w:id="0" w:name="_GoBack"/>
            <w:bookmarkEnd w:id="0"/>
            <w:r>
              <w:t xml:space="preserve"> 2017)</w:t>
            </w:r>
          </w:p>
        </w:tc>
        <w:tc>
          <w:tcPr>
            <w:tcW w:w="3510" w:type="dxa"/>
          </w:tcPr>
          <w:p w14:paraId="0D1FA00A" w14:textId="77777777" w:rsidR="00FA066C" w:rsidRDefault="00FA066C" w:rsidP="00FA066C">
            <w:r>
              <w:t>Same amounts and sources as in triple-deduction model previously used, just spread out over academic year</w:t>
            </w:r>
          </w:p>
        </w:tc>
        <w:tc>
          <w:tcPr>
            <w:tcW w:w="3600" w:type="dxa"/>
          </w:tcPr>
          <w:p w14:paraId="114B4793" w14:textId="6772570F" w:rsidR="00FA066C" w:rsidRDefault="00FA066C" w:rsidP="00FA066C">
            <w:r>
              <w:t>Payroll, HR, SHS.  Students appointed less than three terms under-pay their share for summer coverage; cost will be covered centrally to make up the difference in the summer employee contribution pool</w:t>
            </w:r>
          </w:p>
        </w:tc>
      </w:tr>
    </w:tbl>
    <w:p w14:paraId="3066A993" w14:textId="77777777" w:rsidR="00842072" w:rsidRPr="004312F9" w:rsidRDefault="00842072"/>
    <w:sectPr w:rsidR="00842072" w:rsidRPr="004312F9" w:rsidSect="00EA0F53">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72"/>
    <w:rsid w:val="00235A0C"/>
    <w:rsid w:val="002A0C4B"/>
    <w:rsid w:val="00345CB9"/>
    <w:rsid w:val="004312F9"/>
    <w:rsid w:val="00462FC8"/>
    <w:rsid w:val="00560999"/>
    <w:rsid w:val="007B38A4"/>
    <w:rsid w:val="00842072"/>
    <w:rsid w:val="00894385"/>
    <w:rsid w:val="009338FC"/>
    <w:rsid w:val="00974734"/>
    <w:rsid w:val="00974983"/>
    <w:rsid w:val="0099774D"/>
    <w:rsid w:val="00B462DC"/>
    <w:rsid w:val="00B773D3"/>
    <w:rsid w:val="00BA2BFF"/>
    <w:rsid w:val="00C60622"/>
    <w:rsid w:val="00D01E03"/>
    <w:rsid w:val="00EA0F53"/>
    <w:rsid w:val="00F3168A"/>
    <w:rsid w:val="00F3302F"/>
    <w:rsid w:val="00FA066C"/>
    <w:rsid w:val="00FF5F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36E2DE5"/>
  <w15:docId w15:val="{5E5182CC-3638-46A5-9AE1-F1D9C344E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1118</Words>
  <Characters>6374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KPKV3-V9R8X-QMTGH-YXTCG-8P6HM</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COSINe SHB</dc:creator>
  <cp:keywords/>
  <dc:description/>
  <cp:lastModifiedBy>Cllient Services</cp:lastModifiedBy>
  <cp:revision>2</cp:revision>
  <cp:lastPrinted>2016-08-19T16:41:00Z</cp:lastPrinted>
  <dcterms:created xsi:type="dcterms:W3CDTF">2016-08-19T23:33:00Z</dcterms:created>
  <dcterms:modified xsi:type="dcterms:W3CDTF">2016-08-19T23:33:00Z</dcterms:modified>
</cp:coreProperties>
</file>